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Modelo de Proposta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1528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5"/>
        <w:gridCol w:w="5636"/>
        <w:gridCol w:w="1288"/>
        <w:gridCol w:w="1285"/>
        <w:gridCol w:w="1288"/>
        <w:gridCol w:w="1285"/>
        <w:gridCol w:w="1288"/>
        <w:gridCol w:w="1285"/>
        <w:gridCol w:w="1286"/>
      </w:tblGrid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Item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Especificação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CATSER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Unidade medida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Quantidade mensal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Quantidade para </w:t>
            </w:r>
            <w:r>
              <w:rPr>
                <w:rFonts w:eastAsia="Calibri" w:cs="Calibri" w:ascii="Calibri" w:hAnsi="Calibri"/>
                <w:b/>
              </w:rPr>
              <w:t>48</w:t>
            </w:r>
            <w:r>
              <w:rPr>
                <w:rFonts w:eastAsia="Calibri" w:cs="Calibri" w:ascii="Calibri" w:hAnsi="Calibri"/>
                <w:b/>
              </w:rPr>
              <w:t xml:space="preserve"> meses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Valor unitário (R$)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Valor mensal (R$)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Valor para </w:t>
            </w:r>
            <w:r>
              <w:rPr>
                <w:rFonts w:eastAsia="Calibri" w:cs="Calibri" w:ascii="Calibri" w:hAnsi="Calibri"/>
                <w:b/>
              </w:rPr>
              <w:t>48</w:t>
            </w:r>
            <w:r>
              <w:rPr>
                <w:rFonts w:eastAsia="Calibri" w:cs="Calibri" w:ascii="Calibri" w:hAnsi="Calibri"/>
                <w:b/>
              </w:rPr>
              <w:t xml:space="preserve"> meses (R$)</w:t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a4 - monocromático - dentro da franquia sem papel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26573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 mês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33.680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1.616.640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a4 - policromático - dentro da franquia sem papel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26611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 mês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925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44.400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a3 - monocromático - dentro da franquia sem papel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26590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 mês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198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9.504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a3 - policromático - dentro da franquia sem papel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26638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 mês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144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a4 - monocromático - excedente a franquia sem papel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26654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33.680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1.616.640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a4 - policromático - excedente a franquia - sem papel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26697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925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44.400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7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a3 - monocromático - excedente a franquia sem papel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26670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198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9.504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8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Outsourcing de impressão - páginas a3 - policromático - excedente a franquia - sem papel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26719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página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144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sectPr>
      <w:headerReference w:type="default" r:id="rId2"/>
      <w:type w:val="nextPage"/>
      <w:pgSz w:orient="landscape" w:w="16838" w:h="11906"/>
      <w:pgMar w:left="850" w:right="850" w:gutter="0" w:header="720" w:top="793" w:footer="0" w:bottom="79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  <w:drawing>
        <wp:inline distT="0" distB="0" distL="0" distR="0">
          <wp:extent cx="679450" cy="7092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center"/>
      <w:rPr>
        <w:rFonts w:ascii="Roboto" w:hAnsi="Roboto" w:eastAsia="Roboto" w:cs="Roboto"/>
        <w:b/>
        <w:sz w:val="18"/>
        <w:szCs w:val="18"/>
      </w:rPr>
    </w:pPr>
    <w:r>
      <w:rPr>
        <w:rFonts w:eastAsia="Roboto" w:cs="Roboto" w:ascii="Roboto" w:hAnsi="Roboto"/>
        <w:b/>
        <w:sz w:val="18"/>
        <w:szCs w:val="18"/>
      </w:rPr>
      <w:t>MINISTÉRIO DA EDUCAÇÃO</w:t>
    </w:r>
  </w:p>
  <w:p>
    <w:pPr>
      <w:pStyle w:val="Normal1"/>
      <w:jc w:val="center"/>
      <w:rPr>
        <w:rFonts w:ascii="Roboto" w:hAnsi="Roboto" w:eastAsia="Roboto" w:cs="Roboto"/>
        <w:b/>
        <w:sz w:val="18"/>
        <w:szCs w:val="18"/>
      </w:rPr>
    </w:pPr>
    <w:r>
      <w:rPr>
        <w:rFonts w:eastAsia="Roboto" w:cs="Roboto" w:ascii="Roboto" w:hAnsi="Roboto"/>
        <w:b/>
        <w:sz w:val="18"/>
        <w:szCs w:val="18"/>
      </w:rPr>
      <w:t>SECRETARIA DE EDUCAÇÃO PROFISSIONAL E TECNOLÓGICA</w:t>
    </w:r>
  </w:p>
  <w:p>
    <w:pPr>
      <w:pStyle w:val="Normal1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Roboto" w:cs="Roboto" w:ascii="Roboto" w:hAnsi="Roboto"/>
        <w:b/>
        <w:sz w:val="18"/>
        <w:szCs w:val="18"/>
      </w:rPr>
      <w:t>INSTITUTO FEDERAL DE EDUCAÇÃO, CIÊNCIA E TECNOLOGIA DO SUL DE MINAS GERAIS - CAMPUS MACHADO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1</Pages>
  <Words>207</Words>
  <Characters>1040</Characters>
  <CharactersWithSpaces>1186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2024-03-04T09:25:59Z</dcterms:modified>
  <cp:revision>1</cp:revision>
  <dc:subject/>
  <dc:title/>
</cp:coreProperties>
</file>